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/>
          <w:b/>
          <w:i w:val="0"/>
          <w:caps w:val="0"/>
          <w:spacing w:val="0"/>
          <w:w w:val="100"/>
          <w:sz w:val="30"/>
          <w:szCs w:val="30"/>
        </w:rPr>
        <w:t>电解质分析仪技术参数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一、技术特点：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★ 无需分装样品，直接测量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★ 吸样针防碰撞保护设计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★ 智能吸样针液面检测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★ 一体化试剂包，降低了生物污染的风险，符合环保要求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★ 能储存32组定标数据和每通道100组质控数据，1500例样品数据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免维护电极，可长期储存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最小样品量：65μl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</w:rPr>
        <w:t>～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150μl ，电解质项目从进样到显示结果≤25秒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自动一点及两点定标，附加人工定标功能，斜率和均差双参数校正，确保线性和准确性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高、中、低值质控线性调整功能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可选项自动进样盘，自动进样盘提供1个急诊测试位，3个质控测试位及25个样品测试位</w:t>
      </w:r>
    </w:p>
    <w:p>
      <w:pPr>
        <w:snapToGrid/>
        <w:spacing w:before="0" w:beforeAutospacing="0" w:after="0" w:afterAutospacing="0" w:line="360" w:lineRule="auto"/>
        <w:ind w:firstLine="315" w:firstLineChars="15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覆盖全国的售后服务网点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二、样品种类：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血清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三、测量范围及重复性：</w:t>
      </w:r>
    </w:p>
    <w:tbl>
      <w:tblPr>
        <w:tblStyle w:val="3"/>
        <w:tblpPr w:leftFromText="180" w:rightFromText="180" w:vertAnchor="text" w:horzAnchor="margin" w:tblpX="-36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项目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测量范围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精密度（CV值）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K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vertAlign w:val="superscript"/>
              </w:rPr>
              <w:t>+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0.5—15.0mmol/L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Na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vertAlign w:val="superscript"/>
              </w:rPr>
              <w:t>+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20.0—200.0 mmol/L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Cl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vertAlign w:val="superscript"/>
              </w:rPr>
              <w:t>—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20.0—200.0 mmol/L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Ca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vertAlign w:val="superscript"/>
              </w:rPr>
              <w:t>2+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0.1—5.0 mmol/L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pH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6.0—9.0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TCO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vertAlign w:val="subscript"/>
              </w:rPr>
              <w:t>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6.0—50.0 mmol/L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≤3.0%</w:t>
            </w:r>
          </w:p>
        </w:tc>
      </w:tr>
    </w:tbl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四、工作条件：</w:t>
      </w:r>
    </w:p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1、工作温度：10℃~40℃                         2、相对湿度：≤80%</w:t>
      </w:r>
    </w:p>
    <w:p>
      <w:pPr>
        <w:snapToGrid/>
        <w:spacing w:before="0" w:beforeAutospacing="0" w:after="0" w:afterAutospacing="0" w:line="460" w:lineRule="exact"/>
        <w:jc w:val="both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3、大气压力：86</w:t>
      </w:r>
      <w:r>
        <w:rPr>
          <w:rFonts w:hint="eastAsia"/>
          <w:b w:val="0"/>
          <w:bCs/>
          <w:i w:val="0"/>
          <w:caps w:val="0"/>
          <w:spacing w:val="-10"/>
          <w:w w:val="100"/>
          <w:sz w:val="21"/>
          <w:szCs w:val="21"/>
        </w:rPr>
        <w:t xml:space="preserve"> </w:t>
      </w: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kPa~106 kPa                     4、避免强光直射，远离强电磁干扰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5、电源：100- 240V~允差</w:t>
      </w:r>
      <w:r>
        <w:rPr>
          <w:b w:val="0"/>
          <w:bCs/>
          <w:i w:val="0"/>
          <w:caps w:val="0"/>
          <w:spacing w:val="0"/>
          <w:w w:val="100"/>
          <w:sz w:val="21"/>
        </w:rPr>
        <w:t>±</w:t>
      </w: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10% ，50/60Hz</w:t>
      </w:r>
      <w:r>
        <w:rPr>
          <w:b w:val="0"/>
          <w:bCs/>
          <w:i w:val="0"/>
          <w:caps w:val="0"/>
          <w:spacing w:val="0"/>
          <w:w w:val="100"/>
          <w:sz w:val="21"/>
        </w:rPr>
        <w:t>±</w:t>
      </w:r>
      <w:r>
        <w:rPr>
          <w:rFonts w:hint="eastAsia"/>
          <w:b w:val="0"/>
          <w:bCs/>
          <w:i w:val="0"/>
          <w:caps w:val="0"/>
          <w:spacing w:val="0"/>
          <w:w w:val="100"/>
          <w:sz w:val="21"/>
        </w:rPr>
        <w:t>1 Hz     6、输入功率：≤80VA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五、检测和计算项目：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测量与计算项目：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K</w:t>
      </w:r>
      <w:r>
        <w:rPr>
          <w:rFonts w:hint="eastAsia"/>
          <w:b w:val="0"/>
          <w:i w:val="0"/>
          <w:caps w:val="0"/>
          <w:spacing w:val="0"/>
          <w:w w:val="100"/>
          <w:sz w:val="21"/>
          <w:vertAlign w:val="superscript"/>
        </w:rPr>
        <w:t>+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、Na</w:t>
      </w:r>
      <w:r>
        <w:rPr>
          <w:rFonts w:hint="eastAsia"/>
          <w:b w:val="0"/>
          <w:i w:val="0"/>
          <w:caps w:val="0"/>
          <w:spacing w:val="0"/>
          <w:w w:val="100"/>
          <w:sz w:val="21"/>
          <w:vertAlign w:val="superscript"/>
        </w:rPr>
        <w:t>+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、Cl</w:t>
      </w:r>
      <w:r>
        <w:rPr>
          <w:rFonts w:hint="eastAsia"/>
          <w:b w:val="0"/>
          <w:i w:val="0"/>
          <w:caps w:val="0"/>
          <w:spacing w:val="0"/>
          <w:w w:val="100"/>
          <w:sz w:val="21"/>
          <w:vertAlign w:val="superscript"/>
        </w:rPr>
        <w:t>—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、Ca</w:t>
      </w:r>
      <w:r>
        <w:rPr>
          <w:rFonts w:hint="eastAsia"/>
          <w:b w:val="0"/>
          <w:i w:val="0"/>
          <w:caps w:val="0"/>
          <w:spacing w:val="0"/>
          <w:w w:val="100"/>
          <w:sz w:val="21"/>
          <w:vertAlign w:val="superscript"/>
        </w:rPr>
        <w:t>2+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、pH、TCO</w:t>
      </w:r>
      <w:r>
        <w:rPr>
          <w:rFonts w:hint="eastAsia"/>
          <w:b w:val="0"/>
          <w:i w:val="0"/>
          <w:caps w:val="0"/>
          <w:spacing w:val="0"/>
          <w:w w:val="100"/>
          <w:sz w:val="21"/>
          <w:vertAlign w:val="subscript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、nCa 、TCa、AG等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857DD"/>
    <w:rsid w:val="04DB6E0E"/>
    <w:rsid w:val="74585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2022-01-26T06:31:00Z</dcterms:created>
  <dc:creator>Eva</dc:creator>
  <cp:lastModifiedBy>Eva</cp:lastModifiedBy>
  <dcterms:modified xsi:type="dcterms:W3CDTF">2022-01-26T06:37:06Z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2CBEE988E7894F96BEFDB0CFC863C036</vt:lpwstr>
  </property>
</Properties>
</file>